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ind w:left="0"/>
        <w:jc w:val="left"/>
        <w:rPr>
          <w:sz w:val="19"/>
        </w:rPr>
      </w:pPr>
    </w:p>
    <w:p>
      <w:pPr>
        <w:pStyle w:val="BodyText"/>
        <w:ind w:left="4774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790575" cy="8001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64"/>
        <w:ind w:left="25" w:right="0" w:firstLine="0"/>
        <w:jc w:val="center"/>
        <w:rPr>
          <w:b/>
          <w:sz w:val="22"/>
        </w:rPr>
      </w:pPr>
      <w:r>
        <w:rPr>
          <w:b/>
          <w:sz w:val="22"/>
        </w:rPr>
        <w:t>TRIBUNAL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REGIONAL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ELEITORAL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ESTADO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SÃO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PAULO</w:t>
      </w:r>
    </w:p>
    <w:p>
      <w:pPr>
        <w:spacing w:before="2"/>
        <w:ind w:left="25" w:right="0" w:firstLine="0"/>
        <w:jc w:val="center"/>
        <w:rPr>
          <w:sz w:val="22"/>
        </w:rPr>
      </w:pPr>
      <w:r>
        <w:rPr>
          <w:spacing w:val="-2"/>
          <w:sz w:val="22"/>
        </w:rPr>
        <w:t>DIRETORIA-GERAL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127"/>
        <w:ind w:left="0"/>
        <w:jc w:val="left"/>
        <w:rPr>
          <w:sz w:val="22"/>
        </w:rPr>
      </w:pPr>
    </w:p>
    <w:p>
      <w:pPr>
        <w:pStyle w:val="BodyText"/>
        <w:spacing w:line="235" w:lineRule="auto"/>
        <w:ind w:right="216" w:firstLine="1698"/>
      </w:pPr>
      <w:r>
        <w:rPr/>
        <w:t>Trata-se de proposta da Secretaria de Administração de Material de celebração </w:t>
      </w:r>
      <w:r>
        <w:rPr/>
        <w:t>de contrato de locação para o imóvel situado na Avenida Mário Covas, 660, Itapeva/SP, com aproximadamente 415 m² de área construída, para abrigar as instalações do cartório da 53ª Zona Eleitoral - </w:t>
      </w:r>
      <w:r>
        <w:rPr>
          <w:spacing w:val="-2"/>
        </w:rPr>
        <w:t>Itapeva.</w:t>
      </w:r>
    </w:p>
    <w:p>
      <w:pPr>
        <w:pStyle w:val="BodyText"/>
        <w:spacing w:line="235" w:lineRule="auto" w:before="118"/>
        <w:ind w:right="216" w:firstLine="1698"/>
      </w:pPr>
      <w:r>
        <w:rPr/>
        <w:t>A proposta decorre do projeto de assunção, pelo TRE-SP, de todas as locações dos imóveis que sediam os cartórios eleitorais do Interior (Portaria n. 125/2022 - SEI </w:t>
      </w:r>
      <w:r>
        <w:rPr/>
        <w:t>0016522- </w:t>
      </w:r>
      <w:r>
        <w:rPr>
          <w:spacing w:val="-2"/>
        </w:rPr>
        <w:t>63.2022.6.26.8000).</w:t>
      </w:r>
    </w:p>
    <w:p>
      <w:pPr>
        <w:pStyle w:val="BodyText"/>
        <w:spacing w:before="115"/>
        <w:ind w:left="1942"/>
      </w:pPr>
      <w:r>
        <w:rPr/>
        <w:t>Prevê-se</w:t>
      </w:r>
      <w:r>
        <w:rPr>
          <w:spacing w:val="26"/>
        </w:rPr>
        <w:t> </w:t>
      </w:r>
      <w:r>
        <w:rPr/>
        <w:t>uma</w:t>
      </w:r>
      <w:r>
        <w:rPr>
          <w:spacing w:val="26"/>
        </w:rPr>
        <w:t> </w:t>
      </w:r>
      <w:r>
        <w:rPr/>
        <w:t>vigência</w:t>
      </w:r>
      <w:r>
        <w:rPr>
          <w:spacing w:val="26"/>
        </w:rPr>
        <w:t> </w:t>
      </w:r>
      <w:r>
        <w:rPr/>
        <w:t>inicial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60</w:t>
      </w:r>
      <w:r>
        <w:rPr>
          <w:spacing w:val="26"/>
        </w:rPr>
        <w:t> </w:t>
      </w:r>
      <w:r>
        <w:rPr/>
        <w:t>meses,</w:t>
      </w:r>
      <w:r>
        <w:rPr>
          <w:spacing w:val="26"/>
        </w:rPr>
        <w:t> </w:t>
      </w:r>
      <w:r>
        <w:rPr/>
        <w:t>contados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partir</w:t>
      </w:r>
      <w:r>
        <w:rPr>
          <w:spacing w:val="26"/>
        </w:rPr>
        <w:t> </w:t>
      </w:r>
      <w:r>
        <w:rPr/>
        <w:t>da</w:t>
      </w:r>
      <w:r>
        <w:rPr>
          <w:spacing w:val="26"/>
        </w:rPr>
        <w:t> </w:t>
      </w:r>
      <w:r>
        <w:rPr/>
        <w:t>entrega</w:t>
      </w:r>
      <w:r>
        <w:rPr>
          <w:spacing w:val="26"/>
        </w:rPr>
        <w:t> </w:t>
      </w:r>
      <w:r>
        <w:rPr/>
        <w:t>das</w:t>
      </w:r>
      <w:r>
        <w:rPr>
          <w:spacing w:val="26"/>
        </w:rPr>
        <w:t> </w:t>
      </w:r>
      <w:r>
        <w:rPr/>
        <w:t>chaves</w:t>
      </w:r>
      <w:r>
        <w:rPr>
          <w:spacing w:val="26"/>
        </w:rPr>
        <w:t> </w:t>
      </w:r>
      <w:r>
        <w:rPr>
          <w:spacing w:val="-5"/>
        </w:rPr>
        <w:t>do</w:t>
      </w:r>
    </w:p>
    <w:p>
      <w:pPr>
        <w:pStyle w:val="BodyText"/>
        <w:spacing w:line="270" w:lineRule="exact"/>
        <w:jc w:val="left"/>
      </w:pPr>
      <w:r>
        <w:rPr>
          <w:spacing w:val="-2"/>
        </w:rPr>
        <w:t>imóvel.</w:t>
      </w:r>
    </w:p>
    <w:p>
      <w:pPr>
        <w:pStyle w:val="BodyText"/>
        <w:spacing w:before="114"/>
        <w:ind w:left="1942"/>
        <w:jc w:val="left"/>
      </w:pPr>
      <w:r>
        <w:rPr/>
        <w:t>A</w:t>
      </w:r>
      <w:r>
        <w:rPr>
          <w:spacing w:val="24"/>
        </w:rPr>
        <w:t> </w:t>
      </w:r>
      <w:r>
        <w:rPr/>
        <w:t>Seção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Locação</w:t>
      </w:r>
      <w:r>
        <w:rPr>
          <w:spacing w:val="37"/>
        </w:rPr>
        <w:t> </w:t>
      </w:r>
      <w:r>
        <w:rPr/>
        <w:t>e</w:t>
      </w:r>
      <w:r>
        <w:rPr>
          <w:spacing w:val="37"/>
        </w:rPr>
        <w:t> </w:t>
      </w:r>
      <w:r>
        <w:rPr/>
        <w:t>Cadastro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Imóveis</w:t>
      </w:r>
      <w:r>
        <w:rPr>
          <w:spacing w:val="37"/>
        </w:rPr>
        <w:t> </w:t>
      </w:r>
      <w:r>
        <w:rPr/>
        <w:t>(6268385)</w:t>
      </w:r>
      <w:r>
        <w:rPr>
          <w:spacing w:val="37"/>
        </w:rPr>
        <w:t> </w:t>
      </w:r>
      <w:r>
        <w:rPr/>
        <w:t>informa</w:t>
      </w:r>
      <w:r>
        <w:rPr>
          <w:spacing w:val="37"/>
        </w:rPr>
        <w:t> </w:t>
      </w:r>
      <w:r>
        <w:rPr/>
        <w:t>que,</w:t>
      </w:r>
      <w:r>
        <w:rPr>
          <w:spacing w:val="37"/>
        </w:rPr>
        <w:t> </w:t>
      </w:r>
      <w:r>
        <w:rPr/>
        <w:t>empreendidas</w:t>
      </w:r>
      <w:r>
        <w:rPr>
          <w:spacing w:val="37"/>
        </w:rPr>
        <w:t> </w:t>
      </w:r>
      <w:r>
        <w:rPr>
          <w:spacing w:val="-5"/>
        </w:rPr>
        <w:t>as</w:t>
      </w:r>
    </w:p>
    <w:p>
      <w:pPr>
        <w:pStyle w:val="BodyText"/>
        <w:spacing w:line="270" w:lineRule="exact"/>
      </w:pPr>
      <w:r>
        <w:rPr/>
        <w:t>negociações, os proprietários do imóvel formularam proposta no valor mensal de R$ </w:t>
      </w:r>
      <w:r>
        <w:rPr>
          <w:spacing w:val="-2"/>
        </w:rPr>
        <w:t>13.900,00.</w:t>
      </w:r>
    </w:p>
    <w:p>
      <w:pPr>
        <w:pStyle w:val="BodyText"/>
        <w:spacing w:line="235" w:lineRule="auto" w:before="118"/>
        <w:ind w:right="216" w:firstLine="1698"/>
      </w:pPr>
      <w:r>
        <w:rPr/>
        <w:t>Ressalta que o edifício apresenta características arquitetônicas e leiaute adequados ao desenvolvimento das atividades cartorárias, conforme relatório de vistoria técnica (6268356) </w:t>
      </w:r>
      <w:r>
        <w:rPr/>
        <w:t>realizada pelas equipes de engenharia e arquitetura deste Tribunal, que pontuaram a necessidade de algumas adaptações nas instalações elétricas e civis.</w:t>
      </w:r>
    </w:p>
    <w:p>
      <w:pPr>
        <w:pStyle w:val="BodyText"/>
        <w:spacing w:line="235" w:lineRule="auto" w:before="118"/>
        <w:ind w:right="216" w:firstLine="1698"/>
      </w:pPr>
      <w:r>
        <w:rPr/>
        <w:t>Salienta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localização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prédio</w:t>
      </w:r>
      <w:r>
        <w:rPr>
          <w:spacing w:val="-1"/>
        </w:rPr>
        <w:t> </w:t>
      </w:r>
      <w:r>
        <w:rPr/>
        <w:t>é</w:t>
      </w:r>
      <w:r>
        <w:rPr>
          <w:spacing w:val="-1"/>
        </w:rPr>
        <w:t> </w:t>
      </w:r>
      <w:r>
        <w:rPr/>
        <w:t>benéfica</w:t>
      </w:r>
      <w:r>
        <w:rPr>
          <w:spacing w:val="-1"/>
        </w:rPr>
        <w:t> </w:t>
      </w:r>
      <w:r>
        <w:rPr/>
        <w:t>tanto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acesso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eleitoras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eleitores quanto para as atividades relativas às eleições, e acrescenta que o locador se comprometeu a realizar as adaptações supracitadas sem ônus para a Administração, com estimativa de conclusão em noventa dias após a assinatura do contrato.</w:t>
      </w:r>
    </w:p>
    <w:p>
      <w:pPr>
        <w:pStyle w:val="BodyText"/>
        <w:spacing w:line="235" w:lineRule="auto" w:before="119"/>
        <w:ind w:right="216" w:firstLine="1698"/>
      </w:pPr>
      <w:r>
        <w:rPr/>
        <w:t>Assim, considerando a indisponibilidade na região, consoante pesquisa </w:t>
      </w:r>
      <w:r>
        <w:rPr/>
        <w:t>na Superintendência do Patrimônio da União, de imóveis pertencentes à União e adequados às necessidades do cartório, a vantagem econômica apurada em pesquisa de preços e a condição satisfatória da edificação, com instalações e localização que atendem às finalidades administrativas, manifesta-se pela celebração do contrato, com amparo no inciso V do artigo 74 da Lei n. 14.133/2021, pelo qual é inexigível a licitação quando é inviável a competição, em especial nos casos de aquisição ou locação de imóvel cujas características tornem necessária sua escolha.</w:t>
      </w:r>
    </w:p>
    <w:p>
      <w:pPr>
        <w:pStyle w:val="BodyText"/>
        <w:spacing w:line="235" w:lineRule="auto" w:before="116"/>
        <w:ind w:right="216" w:firstLine="1698"/>
      </w:pPr>
      <w:r>
        <w:rPr/>
        <w:t>A Coordenadoria de Gestão de Imóveis (6270938) e a Secretaria de Gestão de Serviços (6271765) endossam a proposta.</w:t>
      </w:r>
    </w:p>
    <w:p>
      <w:pPr>
        <w:pStyle w:val="BodyText"/>
        <w:spacing w:before="115"/>
        <w:ind w:left="1942"/>
      </w:pPr>
      <w:r>
        <w:rPr/>
        <w:t>A</w:t>
      </w:r>
      <w:r>
        <w:rPr>
          <w:spacing w:val="-27"/>
        </w:rPr>
        <w:t> </w:t>
      </w:r>
      <w:r>
        <w:rPr/>
        <w:t>Assessoria de</w:t>
      </w:r>
      <w:r>
        <w:rPr>
          <w:spacing w:val="-14"/>
        </w:rPr>
        <w:t> </w:t>
      </w:r>
      <w:r>
        <w:rPr/>
        <w:t>Atendimento aos Cartórios Eleitorais (6276089) igualmente a </w:t>
      </w:r>
      <w:r>
        <w:rPr>
          <w:spacing w:val="-2"/>
        </w:rPr>
        <w:t>ratifica.</w:t>
      </w:r>
    </w:p>
    <w:p>
      <w:pPr>
        <w:pStyle w:val="BodyText"/>
        <w:spacing w:line="235" w:lineRule="auto" w:before="118"/>
        <w:ind w:right="216" w:firstLine="1698"/>
      </w:pPr>
      <w:r>
        <w:rPr/>
        <w:t>A Seção de Gestão de Contratos de Locação e Aquisição (6296400) informa </w:t>
      </w:r>
      <w:r>
        <w:rPr/>
        <w:t>a regularidade da documentação relativa ao imóvel e aos proprietários, exceto quanto ao Auto de Vistoria/Certificado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Licença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Bombeiros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aos</w:t>
      </w:r>
      <w:r>
        <w:rPr>
          <w:spacing w:val="-3"/>
        </w:rPr>
        <w:t> </w:t>
      </w:r>
      <w:r>
        <w:rPr/>
        <w:t>três</w:t>
      </w:r>
      <w:r>
        <w:rPr>
          <w:spacing w:val="-3"/>
        </w:rPr>
        <w:t> </w:t>
      </w:r>
      <w:r>
        <w:rPr/>
        <w:t>últimos</w:t>
      </w:r>
      <w:r>
        <w:rPr>
          <w:spacing w:val="-3"/>
        </w:rPr>
        <w:t> </w:t>
      </w:r>
      <w:r>
        <w:rPr/>
        <w:t>comprovantes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pagamento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consumo de água a luz, cuja regularização, assinala, já foi solicitada ao proprietário.</w:t>
      </w:r>
    </w:p>
    <w:p>
      <w:pPr>
        <w:pStyle w:val="BodyText"/>
        <w:spacing w:line="235" w:lineRule="auto" w:before="119"/>
        <w:ind w:right="216" w:firstLine="1698"/>
      </w:pPr>
      <w:r>
        <w:rPr/>
        <w:t>A</w:t>
      </w:r>
      <w:r>
        <w:rPr>
          <w:spacing w:val="-4"/>
        </w:rPr>
        <w:t> </w:t>
      </w:r>
      <w:r>
        <w:rPr/>
        <w:t>Coordenadoria de Contratos (6298675), corroborada pela Secretaria de</w:t>
      </w:r>
      <w:r>
        <w:rPr>
          <w:spacing w:val="-4"/>
        </w:rPr>
        <w:t> </w:t>
      </w:r>
      <w:r>
        <w:rPr/>
        <w:t>Administração de Material (6301213), então propõe a celebração do ajuste e a aprovação da despesa demandada, no montante de R$ 834.000,00 (60 meses), cuja disponibilidade a Secretaria de Orçamento e Finanças atesta no doc. 6308018.</w:t>
      </w:r>
    </w:p>
    <w:p>
      <w:pPr>
        <w:pStyle w:val="BodyText"/>
        <w:spacing w:line="235" w:lineRule="auto" w:before="118"/>
        <w:ind w:right="216" w:firstLine="1698"/>
      </w:pPr>
      <w:r>
        <w:rPr/>
        <w:t>Instada a se manifestar, a Assessoria Jurídica (6310462) entende que estão presentes os requisitos necessários à contratação pretendida, consoante o supracitado artigo 74 da Lei n. 14.133/2021.</w:t>
      </w:r>
    </w:p>
    <w:p>
      <w:pPr>
        <w:pStyle w:val="BodyText"/>
        <w:spacing w:line="235" w:lineRule="auto" w:before="119"/>
        <w:ind w:right="216" w:firstLine="1698"/>
      </w:pPr>
      <w:r>
        <w:rPr/>
        <w:t>Logo, considerando a viabilidade técnica atestada nos autos, a economicidade do valor</w:t>
      </w:r>
      <w:r>
        <w:rPr>
          <w:spacing w:val="40"/>
        </w:rPr>
        <w:t> </w:t>
      </w:r>
      <w:r>
        <w:rPr/>
        <w:t>do locatício proposto, a indisponibilidade de imóveis próprios da União na região e que a </w:t>
      </w:r>
      <w:r>
        <w:rPr/>
        <w:t>localização privilegiada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edificação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suas</w:t>
      </w:r>
      <w:r>
        <w:rPr>
          <w:spacing w:val="-2"/>
        </w:rPr>
        <w:t> </w:t>
      </w:r>
      <w:r>
        <w:rPr/>
        <w:t>características</w:t>
      </w:r>
      <w:r>
        <w:rPr>
          <w:spacing w:val="-2"/>
        </w:rPr>
        <w:t> </w:t>
      </w:r>
      <w:r>
        <w:rPr/>
        <w:t>atendem</w:t>
      </w:r>
      <w:r>
        <w:rPr>
          <w:spacing w:val="-2"/>
        </w:rPr>
        <w:t> </w:t>
      </w:r>
      <w:r>
        <w:rPr/>
        <w:t>satisfatoriamente</w:t>
      </w:r>
      <w:r>
        <w:rPr>
          <w:spacing w:val="-2"/>
        </w:rPr>
        <w:t> </w:t>
      </w:r>
      <w:r>
        <w:rPr/>
        <w:t>às</w:t>
      </w:r>
      <w:r>
        <w:rPr>
          <w:spacing w:val="-2"/>
        </w:rPr>
        <w:t> </w:t>
      </w:r>
      <w:r>
        <w:rPr/>
        <w:t>finalidades</w:t>
      </w:r>
      <w:r>
        <w:rPr>
          <w:spacing w:val="-2"/>
        </w:rPr>
        <w:t> </w:t>
      </w:r>
      <w:r>
        <w:rPr/>
        <w:t>da</w:t>
      </w:r>
      <w:r>
        <w:rPr>
          <w:spacing w:val="-15"/>
        </w:rPr>
        <w:t> </w:t>
      </w:r>
      <w:r>
        <w:rPr/>
        <w:t>Administração, não vislumbra óbices jurídicos à celebração do contrato.</w:t>
      </w:r>
    </w:p>
    <w:p>
      <w:pPr>
        <w:pStyle w:val="BodyText"/>
        <w:spacing w:after="0" w:line="235" w:lineRule="auto"/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480" w:bottom="460" w:left="566" w:right="566"/>
          <w:pgNumType w:start="1"/>
        </w:sectPr>
      </w:pPr>
    </w:p>
    <w:p>
      <w:pPr>
        <w:pStyle w:val="BodyText"/>
        <w:spacing w:line="235" w:lineRule="auto" w:before="76"/>
        <w:ind w:right="216" w:firstLine="1698"/>
      </w:pPr>
      <w:r>
        <w:rPr/>
        <w:t>Ante o exposto, considerando as justificativas apresentadas pela Secretaria de Gestão de Serviços e a disponibilidade de recursos atestada pela Secretaria de Orçamento e Finanças, ratifico </w:t>
      </w:r>
      <w:r>
        <w:rPr/>
        <w:t>a proposta da Secretaria de Administração de Material e, com base na competência delegada no artigo 1º, inciso VII, da Portaria n. 1/2022 e fundamento no artigo 74, inciso V e §5º, incisos I, II e III, da Lei n. 14.133/2021, aprovo a celebração de contrato de locação para o imóvel situado na</w:t>
      </w:r>
      <w:r>
        <w:rPr>
          <w:spacing w:val="-2"/>
        </w:rPr>
        <w:t> </w:t>
      </w:r>
      <w:r>
        <w:rPr/>
        <w:t>Avenida Mário Covas, 660, Itapeva/SP, para abrigar as instalações do cartório da 53ª Zona Eleitoral, pelo período de 60 meses, bem como aprovo a despesa correspondente, no montante de R$ 834.000,00 (valor mensal de R$ 13.900,00), podendo ser utilizada a minuta contratual contida no doc. 6296395, observadas as diligências recomendadas pela Assessoria Jurídica.</w:t>
      </w:r>
    </w:p>
    <w:p>
      <w:pPr>
        <w:pStyle w:val="BodyText"/>
        <w:spacing w:before="112"/>
        <w:ind w:left="1942"/>
      </w:pPr>
      <w:r>
        <w:rPr/>
        <w:t>À SOF e SAM, para as providências seguintes, com ciência à SGS,</w:t>
      </w:r>
      <w:r>
        <w:rPr>
          <w:spacing w:val="-14"/>
        </w:rPr>
        <w:t> </w:t>
      </w:r>
      <w:r>
        <w:rPr/>
        <w:t>AACE e 53ª </w:t>
      </w:r>
      <w:r>
        <w:rPr>
          <w:spacing w:val="-5"/>
        </w:rPr>
        <w:t>ZE.</w:t>
      </w:r>
    </w:p>
    <w:p>
      <w:pPr>
        <w:pStyle w:val="BodyText"/>
        <w:spacing w:before="227"/>
        <w:ind w:left="0"/>
        <w:jc w:val="left"/>
      </w:pPr>
    </w:p>
    <w:p>
      <w:pPr>
        <w:pStyle w:val="BodyText"/>
        <w:spacing w:line="338" w:lineRule="auto" w:before="1"/>
        <w:ind w:left="3873" w:right="384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438150</wp:posOffset>
                </wp:positionH>
                <wp:positionV relativeFrom="paragraph">
                  <wp:posOffset>504855</wp:posOffset>
                </wp:positionV>
                <wp:extent cx="6696075" cy="1905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39.75238pt;width:527.25pt;height:1.5pt;mso-position-horizontal-relative:page;mso-position-vertical-relative:paragraph;z-index:-15728640;mso-wrap-distance-left:0;mso-wrap-distance-right:0" id="docshapegroup5" coordorigin="690,795" coordsize="10545,30">
                <v:rect style="position:absolute;left:690;top:795;width:10545;height:15" id="docshape6" filled="true" fillcolor="#999999" stroked="false">
                  <v:fill type="solid"/>
                </v:rect>
                <v:shape style="position:absolute;left:689;top:795;width:10545;height:30" id="docshape7" coordorigin="690,795" coordsize="10545,30" path="m11235,795l11220,810,690,810,690,825,11220,825,11235,825,11235,810,11235,795xe" filled="true" fillcolor="#ededed" stroked="false">
                  <v:path arrowok="t"/>
                  <v:fill type="solid"/>
                </v:shape>
                <v:shape style="position:absolute;left:690;top:795;width:15;height:30" id="docshape8" coordorigin="690,795" coordsize="15,30" path="m690,825l690,795,705,795,705,810,690,825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466725</wp:posOffset>
            </wp:positionH>
            <wp:positionV relativeFrom="paragraph">
              <wp:posOffset>590580</wp:posOffset>
            </wp:positionV>
            <wp:extent cx="847724" cy="571499"/>
            <wp:effectExtent l="0" t="0" r="0" b="0"/>
            <wp:wrapNone/>
            <wp:docPr id="10" name="Image 10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Claucio</w:t>
      </w:r>
      <w:r>
        <w:rPr>
          <w:spacing w:val="-15"/>
        </w:rPr>
        <w:t> </w:t>
      </w:r>
      <w:r>
        <w:rPr/>
        <w:t>Cristiano</w:t>
      </w:r>
      <w:r>
        <w:rPr>
          <w:spacing w:val="-15"/>
        </w:rPr>
        <w:t> </w:t>
      </w:r>
      <w:r>
        <w:rPr/>
        <w:t>Abreu</w:t>
      </w:r>
      <w:r>
        <w:rPr>
          <w:spacing w:val="-15"/>
        </w:rPr>
        <w:t> </w:t>
      </w:r>
      <w:r>
        <w:rPr/>
        <w:t>Corrêa </w:t>
      </w:r>
      <w:r>
        <w:rPr>
          <w:spacing w:val="-2"/>
        </w:rPr>
        <w:t>Diretor-Geral</w:t>
      </w:r>
    </w:p>
    <w:p>
      <w:pPr>
        <w:pStyle w:val="BodyText"/>
        <w:spacing w:before="43"/>
        <w:ind w:left="0"/>
        <w:jc w:val="left"/>
      </w:pPr>
    </w:p>
    <w:p>
      <w:pPr>
        <w:spacing w:line="242" w:lineRule="auto" w:before="0"/>
        <w:ind w:left="1563" w:right="456" w:firstLine="0"/>
        <w:jc w:val="left"/>
        <w:rPr>
          <w:sz w:val="22"/>
        </w:rPr>
      </w:pPr>
      <w:r>
        <w:rPr>
          <w:sz w:val="22"/>
        </w:rPr>
        <w:t>Documento assinado eletronicamente por </w:t>
      </w:r>
      <w:r>
        <w:rPr>
          <w:b/>
          <w:sz w:val="22"/>
        </w:rPr>
        <w:t>CLAUCIO CRISTIANO ABREU CORRÊA</w:t>
      </w:r>
      <w:r>
        <w:rPr>
          <w:sz w:val="22"/>
        </w:rPr>
        <w:t>, </w:t>
      </w:r>
      <w:r>
        <w:rPr>
          <w:b/>
          <w:sz w:val="22"/>
        </w:rPr>
        <w:t>DIRETOR-GERAL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29/01/2025,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sz w:val="22"/>
        </w:rPr>
        <w:t>13:35,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art.</w:t>
      </w:r>
      <w:r>
        <w:rPr>
          <w:spacing w:val="-4"/>
          <w:sz w:val="22"/>
        </w:rPr>
        <w:t> </w:t>
      </w:r>
      <w:r>
        <w:rPr>
          <w:sz w:val="22"/>
        </w:rPr>
        <w:t>1º,</w:t>
      </w:r>
      <w:r>
        <w:rPr>
          <w:spacing w:val="-4"/>
          <w:sz w:val="22"/>
        </w:rPr>
        <w:t> </w:t>
      </w:r>
      <w:r>
        <w:rPr>
          <w:sz w:val="22"/>
        </w:rPr>
        <w:t>§</w:t>
      </w:r>
      <w:r>
        <w:rPr>
          <w:spacing w:val="-4"/>
          <w:sz w:val="22"/>
        </w:rPr>
        <w:t> </w:t>
      </w:r>
      <w:r>
        <w:rPr>
          <w:sz w:val="22"/>
        </w:rPr>
        <w:t>2º,</w:t>
      </w:r>
      <w:r>
        <w:rPr>
          <w:spacing w:val="-4"/>
          <w:sz w:val="22"/>
        </w:rPr>
        <w:t> </w:t>
      </w:r>
      <w:r>
        <w:rPr>
          <w:sz w:val="22"/>
        </w:rPr>
        <w:t>III,</w:t>
      </w:r>
      <w:r>
        <w:rPr>
          <w:spacing w:val="-4"/>
          <w:sz w:val="22"/>
        </w:rPr>
        <w:t> </w:t>
      </w:r>
      <w:r>
        <w:rPr>
          <w:sz w:val="22"/>
        </w:rPr>
        <w:t>"b",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Lei</w:t>
      </w:r>
      <w:r>
        <w:rPr>
          <w:spacing w:val="-4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26"/>
        <w:ind w:left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438150</wp:posOffset>
                </wp:positionH>
                <wp:positionV relativeFrom="paragraph">
                  <wp:posOffset>177804</wp:posOffset>
                </wp:positionV>
                <wp:extent cx="6696075" cy="1905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338pt;width:527.25pt;height:1.5pt;mso-position-horizontal-relative:page;mso-position-vertical-relative:paragraph;z-index:-15728128;mso-wrap-distance-left:0;mso-wrap-distance-right:0" id="docshapegroup9" coordorigin="690,280" coordsize="10545,30">
                <v:rect style="position:absolute;left:690;top:280;width:10545;height:15" id="docshape10" filled="true" fillcolor="#999999" stroked="false">
                  <v:fill type="solid"/>
                </v:rect>
                <v:shape style="position:absolute;left:689;top:280;width:10545;height:30" id="docshape11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12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1"/>
        <w:ind w:left="0"/>
        <w:jc w:val="left"/>
        <w:rPr>
          <w:sz w:val="22"/>
        </w:rPr>
      </w:pPr>
    </w:p>
    <w:p>
      <w:pPr>
        <w:spacing w:line="242" w:lineRule="auto" w:before="0"/>
        <w:ind w:left="1518" w:right="456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485775</wp:posOffset>
            </wp:positionH>
            <wp:positionV relativeFrom="paragraph">
              <wp:posOffset>-145400</wp:posOffset>
            </wp:positionV>
            <wp:extent cx="781049" cy="781049"/>
            <wp:effectExtent l="0" t="0" r="0" b="0"/>
            <wp:wrapNone/>
            <wp:docPr id="15" name="Image 15" descr="QRCode Assinatur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 descr="QRCode Assinatura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 autenticidade do documento pode ser conferida no site https://sei.tre- </w:t>
      </w:r>
      <w:r>
        <w:rPr>
          <w:spacing w:val="-2"/>
          <w:sz w:val="22"/>
        </w:rPr>
        <w:t>sp.jus.br/sei/controlador_externo.php?acao=documento_conferir&amp;id_orgao_acesso_externo=0 </w:t>
      </w:r>
      <w:r>
        <w:rPr>
          <w:sz w:val="22"/>
        </w:rPr>
        <w:t>informando o código verificador </w:t>
      </w:r>
      <w:r>
        <w:rPr>
          <w:b/>
          <w:sz w:val="22"/>
        </w:rPr>
        <w:t>6317666 </w:t>
      </w:r>
      <w:r>
        <w:rPr>
          <w:sz w:val="22"/>
        </w:rPr>
        <w:t>e o código CRC </w:t>
      </w:r>
      <w:r>
        <w:rPr>
          <w:b/>
          <w:sz w:val="22"/>
        </w:rPr>
        <w:t>E49CBE4D</w:t>
      </w:r>
      <w:r>
        <w:rPr>
          <w:sz w:val="22"/>
        </w:rPr>
        <w:t>.</w:t>
      </w:r>
    </w:p>
    <w:p>
      <w:pPr>
        <w:pStyle w:val="BodyText"/>
        <w:spacing w:before="70"/>
        <w:ind w:left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447675</wp:posOffset>
                </wp:positionH>
                <wp:positionV relativeFrom="paragraph">
                  <wp:posOffset>206055</wp:posOffset>
                </wp:positionV>
                <wp:extent cx="6677025" cy="1905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77025" cy="19050"/>
                          <a:chExt cx="6677025" cy="190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7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9525">
                                <a:moveTo>
                                  <a:pt x="66770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77024" y="0"/>
                                </a:lnTo>
                                <a:lnTo>
                                  <a:pt x="66770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12" y="0"/>
                            <a:ext cx="66770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19050">
                                <a:moveTo>
                                  <a:pt x="6677025" y="0"/>
                                </a:move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77025" y="19050"/>
                                </a:lnTo>
                                <a:lnTo>
                                  <a:pt x="6677025" y="9525"/>
                                </a:lnTo>
                                <a:lnTo>
                                  <a:pt x="667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5pt;margin-top:16.224823pt;width:525.75pt;height:1.5pt;mso-position-horizontal-relative:page;mso-position-vertical-relative:paragraph;z-index:-15727616;mso-wrap-distance-left:0;mso-wrap-distance-right:0" id="docshapegroup13" coordorigin="705,324" coordsize="10515,30">
                <v:rect style="position:absolute;left:705;top:324;width:10515;height:15" id="docshape14" filled="true" fillcolor="#999999" stroked="false">
                  <v:fill type="solid"/>
                </v:rect>
                <v:shape style="position:absolute;left:704;top:324;width:10515;height:30" id="docshape15" coordorigin="705,324" coordsize="10515,30" path="m11220,324l11205,339,705,339,705,354,11205,354,11220,354,11220,339,11220,324xe" filled="true" fillcolor="#ededed" stroked="false">
                  <v:path arrowok="t"/>
                  <v:fill type="solid"/>
                </v:shape>
                <v:shape style="position:absolute;left:705;top:324;width:15;height:30" id="docshape16" coordorigin="705,324" coordsize="15,30" path="m705,354l705,324,720,324,720,339,705,35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457187</wp:posOffset>
                </wp:positionH>
                <wp:positionV relativeFrom="paragraph">
                  <wp:posOffset>453705</wp:posOffset>
                </wp:positionV>
                <wp:extent cx="6657975" cy="28575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6579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 h="28575">
                              <a:moveTo>
                                <a:pt x="6657975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6657975" y="28575"/>
                              </a:lnTo>
                              <a:lnTo>
                                <a:pt x="6657975" y="19050"/>
                              </a:lnTo>
                              <a:close/>
                            </a:path>
                            <a:path w="6657975" h="28575">
                              <a:moveTo>
                                <a:pt x="66579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57975" y="9525"/>
                              </a:lnTo>
                              <a:lnTo>
                                <a:pt x="665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001pt;margin-top:35.724838pt;width:524.25pt;height:2.25pt;mso-position-horizontal-relative:page;mso-position-vertical-relative:paragraph;z-index:-15727104;mso-wrap-distance-left:0;mso-wrap-distance-right:0" id="docshape17" coordorigin="720,714" coordsize="10485,45" path="m11205,744l720,744,720,759,11205,759,11205,744xm11205,714l720,714,720,729,11205,729,11205,714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6"/>
        <w:ind w:left="0"/>
        <w:jc w:val="left"/>
        <w:rPr>
          <w:sz w:val="20"/>
        </w:rPr>
      </w:pPr>
    </w:p>
    <w:p>
      <w:pPr>
        <w:tabs>
          <w:tab w:pos="9700" w:val="left" w:leader="none"/>
        </w:tabs>
        <w:spacing w:before="27"/>
        <w:ind w:left="25" w:right="0" w:firstLine="0"/>
        <w:jc w:val="center"/>
        <w:rPr>
          <w:sz w:val="18"/>
        </w:rPr>
      </w:pPr>
      <w:r>
        <w:rPr>
          <w:sz w:val="18"/>
        </w:rPr>
        <w:t>0059422-</w:t>
      </w:r>
      <w:r>
        <w:rPr>
          <w:spacing w:val="-2"/>
          <w:sz w:val="18"/>
        </w:rPr>
        <w:t>90.2024.6.26.8000</w:t>
      </w:r>
      <w:r>
        <w:rPr>
          <w:sz w:val="18"/>
        </w:rPr>
        <w:tab/>
      </w:r>
      <w:r>
        <w:rPr>
          <w:spacing w:val="-2"/>
          <w:sz w:val="18"/>
        </w:rPr>
        <w:t>6317666v4</w:t>
      </w:r>
    </w:p>
    <w:sectPr>
      <w:pgSz w:w="11900" w:h="16840"/>
      <w:pgMar w:header="284" w:footer="268" w:top="480" w:bottom="46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8688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662622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6262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https://sei.tre-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sp.jus.br/sei/controlador.php?acao=documento_imprimir_web&amp;acao_origem=arvore_visualizar&amp;id_documento=6773391&amp;infra_sist…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521.75pt;height:10.95pt;mso-position-horizontal-relative:page;mso-position-vertical-relative:page;z-index:-15777792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https://sei.tre-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sp.jus.br/sei/controlador.php?acao=documento_imprimir_web&amp;acao_origem=arvore_visualizar&amp;id_documento=6773391&amp;infra_sist…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9200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777280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7664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28/02/2025,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16:05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77881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28/02/2025,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16:05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8176">
              <wp:simplePos x="0" y="0"/>
              <wp:positionH relativeFrom="page">
                <wp:posOffset>3568997</wp:posOffset>
              </wp:positionH>
              <wp:positionV relativeFrom="page">
                <wp:posOffset>181131</wp:posOffset>
              </wp:positionV>
              <wp:extent cx="162115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211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SEI/TRE-SP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6317666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DECISÃO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1.023438pt;margin-top:14.262341pt;width:127.65pt;height:10.95pt;mso-position-horizontal-relative:page;mso-position-vertical-relative:page;z-index:-1577830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SEI/TRE-SP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6317666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DECISÃO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43"/>
      <w:jc w:val="both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SEI/TRE-SP - 6317666 - DECISÃO</dc:title>
  <dcterms:created xsi:type="dcterms:W3CDTF">2025-02-28T19:06:41Z</dcterms:created>
  <dcterms:modified xsi:type="dcterms:W3CDTF">2025-02-28T19:06:41Z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Mozilla/5.0 (Windows NT 10.0; Win64; x64) AppleWebKit/537.36 (KHTML, like Gecko) Chrome/133.0.0.0 Safari/537.36</vt:lpwstr>
  </property>
  <property fmtid="{D5CDD505-2E9C-101B-9397-08002B2CF9AE}" pid="4" name="LastSaved">
    <vt:filetime>2025-02-28T00:00:00Z</vt:filetime>
  </property>
  <property fmtid="{D5CDD505-2E9C-101B-9397-08002B2CF9AE}" pid="5" name="Producer">
    <vt:lpwstr>Skia/PDF m133</vt:lpwstr>
  </property>
</Properties>
</file>