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60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4"/>
        <w:ind w:left="5" w:right="0" w:firstLine="0"/>
        <w:jc w:val="center"/>
        <w:rPr>
          <w:b/>
          <w:sz w:val="22"/>
        </w:rPr>
      </w:pPr>
      <w:r>
        <w:rPr>
          <w:b/>
          <w:spacing w:val="-1"/>
          <w:sz w:val="22"/>
        </w:rPr>
        <w:t>TRIBUNAL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REGIONAL</w:t>
      </w:r>
      <w:r>
        <w:rPr>
          <w:b/>
          <w:spacing w:val="-12"/>
          <w:sz w:val="22"/>
        </w:rPr>
        <w:t> </w:t>
      </w:r>
      <w:r>
        <w:rPr>
          <w:b/>
          <w:spacing w:val="-1"/>
          <w:sz w:val="22"/>
        </w:rPr>
        <w:t>ELEITORAL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DO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ESTADO DE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SÃO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PAULO</w:t>
      </w:r>
    </w:p>
    <w:p>
      <w:pPr>
        <w:spacing w:before="2"/>
        <w:ind w:left="5" w:right="0" w:firstLine="0"/>
        <w:jc w:val="center"/>
        <w:rPr>
          <w:sz w:val="22"/>
        </w:rPr>
      </w:pPr>
      <w:r>
        <w:rPr>
          <w:sz w:val="22"/>
        </w:rPr>
        <w:t>DIRETORIA-GERAL</w:t>
      </w:r>
    </w:p>
    <w:p>
      <w:pPr>
        <w:pStyle w:val="BodyText"/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35" w:lineRule="auto"/>
        <w:ind w:left="229" w:right="222" w:firstLine="1698"/>
        <w:jc w:val="both"/>
      </w:pPr>
      <w:r>
        <w:rPr/>
        <w:t>Trata-se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aditamento</w:t>
      </w:r>
      <w:r>
        <w:rPr>
          <w:spacing w:val="1"/>
        </w:rPr>
        <w:t> </w:t>
      </w:r>
      <w:r>
        <w:rPr/>
        <w:t>quantitativo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contrato celebrado</w:t>
      </w:r>
      <w:r>
        <w:rPr>
          <w:spacing w:val="-1"/>
        </w:rPr>
        <w:t> </w:t>
      </w:r>
      <w:r>
        <w:rPr/>
        <w:t>com a</w:t>
      </w:r>
      <w:r>
        <w:rPr>
          <w:spacing w:val="-1"/>
        </w:rPr>
        <w:t> </w:t>
      </w:r>
      <w:r>
        <w:rPr/>
        <w:t>empresa</w:t>
      </w:r>
      <w:r>
        <w:rPr>
          <w:spacing w:val="-14"/>
        </w:rPr>
        <w:t> </w:t>
      </w:r>
      <w:r>
        <w:rPr/>
        <w:t>APPROACH</w:t>
      </w:r>
      <w:r>
        <w:rPr>
          <w:spacing w:val="-6"/>
        </w:rPr>
        <w:t> </w:t>
      </w:r>
      <w:r>
        <w:rPr/>
        <w:t>TECNOLOGIA</w:t>
      </w:r>
      <w:r>
        <w:rPr>
          <w:spacing w:val="-14"/>
        </w:rPr>
        <w:t> </w:t>
      </w:r>
      <w:r>
        <w:rPr/>
        <w:t>LTDA.</w:t>
      </w:r>
    </w:p>
    <w:p>
      <w:pPr>
        <w:pStyle w:val="BodyText"/>
        <w:spacing w:line="235" w:lineRule="auto" w:before="119"/>
        <w:ind w:left="229" w:right="222" w:firstLine="1698"/>
        <w:jc w:val="both"/>
      </w:pPr>
      <w:r>
        <w:rPr/>
        <w:t>Esse contrato (3921006) deriva da Ata de Registro de Preços n. 38/2022 do TRE-PB, foi</w:t>
      </w:r>
      <w:r>
        <w:rPr>
          <w:spacing w:val="1"/>
        </w:rPr>
        <w:t> </w:t>
      </w:r>
      <w:r>
        <w:rPr/>
        <w:t>firmado para o fornecimento ao TRE-SP de materiais (elementos de hardware e software) e serviços para a</w:t>
      </w:r>
      <w:r>
        <w:rPr>
          <w:spacing w:val="-57"/>
        </w:rPr>
        <w:t> </w:t>
      </w:r>
      <w:r>
        <w:rPr/>
        <w:t>implantação</w:t>
      </w:r>
      <w:r>
        <w:rPr>
          <w:spacing w:val="-1"/>
        </w:rPr>
        <w:t> </w:t>
      </w:r>
      <w:r>
        <w:rPr/>
        <w:t>de solução de hiperconvergência e contempla os seguintes itens:</w:t>
      </w:r>
    </w:p>
    <w:p>
      <w:pPr>
        <w:pStyle w:val="ListParagraph"/>
        <w:numPr>
          <w:ilvl w:val="0"/>
          <w:numId w:val="1"/>
        </w:numPr>
        <w:tabs>
          <w:tab w:pos="1926" w:val="left" w:leader="none"/>
        </w:tabs>
        <w:spacing w:line="240" w:lineRule="auto" w:before="121" w:after="0"/>
        <w:ind w:left="1925" w:right="0" w:hanging="118"/>
        <w:jc w:val="left"/>
        <w:rPr>
          <w:sz w:val="20"/>
        </w:rPr>
      </w:pPr>
      <w:r>
        <w:rPr>
          <w:sz w:val="20"/>
        </w:rPr>
        <w:t>31</w:t>
      </w:r>
      <w:r>
        <w:rPr>
          <w:spacing w:val="-1"/>
          <w:sz w:val="20"/>
        </w:rPr>
        <w:t> </w:t>
      </w:r>
      <w:r>
        <w:rPr>
          <w:sz w:val="20"/>
        </w:rPr>
        <w:t>Licenças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aplicação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backup;</w:t>
      </w:r>
    </w:p>
    <w:p>
      <w:pPr>
        <w:pStyle w:val="ListParagraph"/>
        <w:numPr>
          <w:ilvl w:val="0"/>
          <w:numId w:val="1"/>
        </w:numPr>
        <w:tabs>
          <w:tab w:pos="1926" w:val="left" w:leader="none"/>
        </w:tabs>
        <w:spacing w:line="240" w:lineRule="auto" w:before="85" w:after="0"/>
        <w:ind w:left="1925" w:right="0" w:hanging="118"/>
        <w:jc w:val="left"/>
        <w:rPr>
          <w:sz w:val="20"/>
        </w:rPr>
      </w:pPr>
      <w:r>
        <w:rPr>
          <w:sz w:val="20"/>
        </w:rPr>
        <w:t>4</w:t>
      </w:r>
      <w:r>
        <w:rPr>
          <w:spacing w:val="-12"/>
          <w:sz w:val="20"/>
        </w:rPr>
        <w:t> </w:t>
      </w:r>
      <w:r>
        <w:rPr>
          <w:sz w:val="20"/>
        </w:rPr>
        <w:t>Appliance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backup;</w:t>
      </w:r>
    </w:p>
    <w:p>
      <w:pPr>
        <w:pStyle w:val="ListParagraph"/>
        <w:numPr>
          <w:ilvl w:val="0"/>
          <w:numId w:val="1"/>
        </w:numPr>
        <w:tabs>
          <w:tab w:pos="1926" w:val="left" w:leader="none"/>
        </w:tabs>
        <w:spacing w:line="240" w:lineRule="auto" w:before="100" w:after="0"/>
        <w:ind w:left="1925" w:right="0" w:hanging="118"/>
        <w:jc w:val="left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Instalação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aplicação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backup;</w:t>
      </w:r>
      <w:r>
        <w:rPr>
          <w:spacing w:val="-1"/>
          <w:sz w:val="20"/>
        </w:rPr>
        <w:t> </w:t>
      </w:r>
      <w:r>
        <w:rPr>
          <w:sz w:val="20"/>
        </w:rPr>
        <w:t>e</w:t>
      </w:r>
    </w:p>
    <w:p>
      <w:pPr>
        <w:pStyle w:val="ListParagraph"/>
        <w:numPr>
          <w:ilvl w:val="0"/>
          <w:numId w:val="1"/>
        </w:numPr>
        <w:tabs>
          <w:tab w:pos="1926" w:val="left" w:leader="none"/>
        </w:tabs>
        <w:spacing w:line="240" w:lineRule="auto" w:before="85" w:after="0"/>
        <w:ind w:left="1925" w:right="0" w:hanging="118"/>
        <w:jc w:val="left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Instalação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appliance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backup.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235" w:lineRule="auto"/>
        <w:ind w:left="229" w:right="222" w:firstLine="1698"/>
        <w:jc w:val="both"/>
      </w:pPr>
      <w:r>
        <w:rPr/>
        <w:t>Conforme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referência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contratação,</w:t>
      </w:r>
      <w:r>
        <w:rPr>
          <w:spacing w:val="1"/>
        </w:rPr>
        <w:t> </w:t>
      </w:r>
      <w:r>
        <w:rPr/>
        <w:t>esses</w:t>
      </w:r>
      <w:r>
        <w:rPr>
          <w:spacing w:val="1"/>
        </w:rPr>
        <w:t> </w:t>
      </w:r>
      <w:r>
        <w:rPr/>
        <w:t>itens</w:t>
      </w:r>
      <w:r>
        <w:rPr>
          <w:spacing w:val="1"/>
        </w:rPr>
        <w:t> </w:t>
      </w:r>
      <w:r>
        <w:rPr/>
        <w:t>visam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garantir os requisitos de segurança do parque de servidores de rede Linux, amplamente utilizado no TRE-</w:t>
      </w:r>
      <w:r>
        <w:rPr>
          <w:spacing w:val="1"/>
        </w:rPr>
        <w:t> </w:t>
      </w:r>
      <w:r>
        <w:rPr/>
        <w:t>SP.</w:t>
      </w:r>
    </w:p>
    <w:p>
      <w:pPr>
        <w:pStyle w:val="BodyText"/>
        <w:spacing w:line="235" w:lineRule="auto" w:before="119"/>
        <w:ind w:left="229" w:right="222" w:firstLine="1698"/>
        <w:jc w:val="both"/>
      </w:pPr>
      <w:r>
        <w:rPr/>
        <w:t>O procedimento de cópia de segurança, ressalta-se naquele instrumento, é importante na</w:t>
      </w:r>
      <w:r>
        <w:rPr>
          <w:spacing w:val="1"/>
        </w:rPr>
        <w:t> </w:t>
      </w:r>
      <w:r>
        <w:rPr/>
        <w:t>medida em que permite que o TRE-SP retome suas operações normais na ocorrência de um sinistro que</w:t>
      </w:r>
      <w:r>
        <w:rPr>
          <w:spacing w:val="1"/>
        </w:rPr>
        <w:t> </w:t>
      </w:r>
      <w:r>
        <w:rPr/>
        <w:t>inviabilize o acesso ou a confiabilidade dos dados armazenados em nossos servidores, conforme a Política</w:t>
      </w:r>
      <w:r>
        <w:rPr>
          <w:spacing w:val="1"/>
        </w:rPr>
        <w:t> </w:t>
      </w:r>
      <w:r>
        <w:rPr/>
        <w:t>de Segurança da Informação e os atos normativos técnicos oriundos do Conselho Nacional de Justiça,</w:t>
      </w:r>
      <w:r>
        <w:rPr>
          <w:spacing w:val="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Superior Eleitoral e o</w:t>
      </w:r>
      <w:r>
        <w:rPr>
          <w:spacing w:val="-6"/>
        </w:rPr>
        <w:t> </w:t>
      </w:r>
      <w:r>
        <w:rPr/>
        <w:t>Tribunal de Contas da União.</w:t>
      </w:r>
    </w:p>
    <w:p>
      <w:pPr>
        <w:pStyle w:val="BodyText"/>
        <w:spacing w:line="235" w:lineRule="auto" w:before="117"/>
        <w:ind w:left="229" w:right="222" w:firstLine="1698"/>
        <w:jc w:val="both"/>
      </w:pPr>
      <w:r>
        <w:rPr/>
        <w:t>Em</w:t>
      </w:r>
      <w:r>
        <w:rPr>
          <w:spacing w:val="1"/>
        </w:rPr>
        <w:t> </w:t>
      </w:r>
      <w:r>
        <w:rPr/>
        <w:t>10/10/2022,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Diretoria-Geral</w:t>
      </w:r>
      <w:r>
        <w:rPr>
          <w:spacing w:val="1"/>
        </w:rPr>
        <w:t> </w:t>
      </w:r>
      <w:r>
        <w:rPr/>
        <w:t>(3887466)</w:t>
      </w:r>
      <w:r>
        <w:rPr>
          <w:spacing w:val="1"/>
        </w:rPr>
        <w:t> </w:t>
      </w:r>
      <w:r>
        <w:rPr/>
        <w:t>aprovou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adesão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referida ata, bem como a despesa correspondente, no valor total de R$ 3.271.600,00.</w:t>
      </w:r>
    </w:p>
    <w:p>
      <w:pPr>
        <w:pStyle w:val="BodyText"/>
        <w:spacing w:line="235" w:lineRule="auto" w:before="119"/>
        <w:ind w:left="229" w:right="222" w:firstLine="1698"/>
        <w:jc w:val="both"/>
      </w:pPr>
      <w:r>
        <w:rPr/>
        <w:t>Nesta oportunidade, a Coordenadoria de Infraestrutura (5709438) informa que os quatro</w:t>
      </w:r>
      <w:r>
        <w:rPr>
          <w:spacing w:val="1"/>
        </w:rPr>
        <w:t> </w:t>
      </w:r>
      <w:r>
        <w:rPr/>
        <w:t>appliances de backup adquiridos em 2022 estão instalados e operacionais na Sede I.</w:t>
      </w:r>
    </w:p>
    <w:p>
      <w:pPr>
        <w:pStyle w:val="BodyText"/>
        <w:spacing w:line="235" w:lineRule="auto" w:before="120"/>
        <w:ind w:left="229" w:right="222" w:firstLine="1698"/>
        <w:jc w:val="both"/>
      </w:pPr>
      <w:r>
        <w:rPr/>
        <w:t>Explica que a capacidade de armazenamento total é de 195TB, enquanto que a ocupação</w:t>
      </w:r>
      <w:r>
        <w:rPr>
          <w:spacing w:val="1"/>
        </w:rPr>
        <w:t> </w:t>
      </w:r>
      <w:r>
        <w:rPr/>
        <w:t>atual é de aproximadamente 50%.</w:t>
      </w:r>
    </w:p>
    <w:p>
      <w:pPr>
        <w:pStyle w:val="BodyText"/>
        <w:spacing w:line="235" w:lineRule="auto" w:before="119"/>
        <w:ind w:left="229" w:right="222" w:firstLine="1698"/>
        <w:jc w:val="both"/>
      </w:pPr>
      <w:r>
        <w:rPr/>
        <w:t>Sustenta a necessidade de aquisição de mais uma unidade desse item, para instalação na</w:t>
      </w:r>
      <w:r>
        <w:rPr>
          <w:spacing w:val="1"/>
        </w:rPr>
        <w:t> </w:t>
      </w:r>
      <w:r>
        <w:rPr/>
        <w:t>Sede II, a fim de viabilizar a configuração de um site backup e de contingência para os sistemas essenciais</w:t>
      </w:r>
      <w:r>
        <w:rPr>
          <w:spacing w:val="1"/>
        </w:rPr>
        <w:t> </w:t>
      </w:r>
      <w:r>
        <w:rPr/>
        <w:t>desse prédio.</w:t>
      </w:r>
    </w:p>
    <w:p>
      <w:pPr>
        <w:pStyle w:val="BodyText"/>
        <w:spacing w:line="235" w:lineRule="auto" w:before="118"/>
        <w:ind w:left="229" w:right="222" w:firstLine="1698"/>
        <w:jc w:val="both"/>
      </w:pPr>
      <w:r>
        <w:rPr/>
        <w:t>Destaca que a estimativa de crescimento do volume de dados do TRE-SP em 2025 é de</w:t>
      </w:r>
      <w:r>
        <w:rPr>
          <w:spacing w:val="1"/>
        </w:rPr>
        <w:t> </w:t>
      </w:r>
      <w:r>
        <w:rPr/>
        <w:t>aproximadamente 50%, motivada por uma série de demandas, como centralização de logs de sistemas,</w:t>
      </w:r>
      <w:r>
        <w:rPr>
          <w:spacing w:val="1"/>
        </w:rPr>
        <w:t> </w:t>
      </w:r>
      <w:r>
        <w:rPr/>
        <w:t>equipamentos e novos sistemas, o que motiva a expansão do espaço de armazenamento de dados.</w:t>
      </w:r>
    </w:p>
    <w:p>
      <w:pPr>
        <w:pStyle w:val="BodyText"/>
        <w:spacing w:line="235" w:lineRule="auto" w:before="119"/>
        <w:ind w:left="229" w:right="222" w:firstLine="1698"/>
        <w:jc w:val="both"/>
      </w:pPr>
      <w:r>
        <w:rPr/>
        <w:t>A</w:t>
      </w:r>
      <w:r>
        <w:rPr>
          <w:spacing w:val="9"/>
        </w:rPr>
        <w:t> </w:t>
      </w:r>
      <w:r>
        <w:rPr/>
        <w:t>Seção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Gestão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Contratos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Locação</w:t>
      </w:r>
      <w:r>
        <w:rPr>
          <w:spacing w:val="22"/>
        </w:rPr>
        <w:t> </w:t>
      </w:r>
      <w:r>
        <w:rPr/>
        <w:t>e</w:t>
      </w:r>
      <w:r>
        <w:rPr>
          <w:spacing w:val="9"/>
        </w:rPr>
        <w:t> </w:t>
      </w:r>
      <w:r>
        <w:rPr/>
        <w:t>Aquisição</w:t>
      </w:r>
      <w:r>
        <w:rPr>
          <w:spacing w:val="22"/>
        </w:rPr>
        <w:t> </w:t>
      </w:r>
      <w:r>
        <w:rPr/>
        <w:t>(5709023),</w:t>
      </w:r>
      <w:r>
        <w:rPr>
          <w:spacing w:val="22"/>
        </w:rPr>
        <w:t> </w:t>
      </w:r>
      <w:r>
        <w:rPr/>
        <w:t>da</w:t>
      </w:r>
      <w:r>
        <w:rPr>
          <w:spacing w:val="22"/>
        </w:rPr>
        <w:t> </w:t>
      </w:r>
      <w:r>
        <w:rPr/>
        <w:t>Coordenadoria</w:t>
      </w:r>
      <w:r>
        <w:rPr>
          <w:spacing w:val="-57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(5718739),</w:t>
      </w:r>
      <w:r>
        <w:rPr>
          <w:spacing w:val="1"/>
        </w:rPr>
        <w:t> </w:t>
      </w:r>
      <w:r>
        <w:rPr/>
        <w:t>informa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despesa</w:t>
      </w:r>
      <w:r>
        <w:rPr>
          <w:spacing w:val="1"/>
        </w:rPr>
        <w:t> </w:t>
      </w:r>
      <w:r>
        <w:rPr/>
        <w:t>necessária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acréscimo</w:t>
      </w:r>
      <w:r>
        <w:rPr>
          <w:spacing w:val="1"/>
        </w:rPr>
        <w:t> </w:t>
      </w:r>
      <w:r>
        <w:rPr/>
        <w:t>contratual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R$</w:t>
      </w:r>
      <w:r>
        <w:rPr>
          <w:spacing w:val="1"/>
        </w:rPr>
        <w:t> </w:t>
      </w:r>
      <w:r>
        <w:rPr/>
        <w:t>580.000,00 - cuja disponibilidade foi informada pela Secretaria de Orçamento e Finanças (5725955) -, e</w:t>
      </w:r>
      <w:r>
        <w:rPr>
          <w:spacing w:val="1"/>
        </w:rPr>
        <w:t> </w:t>
      </w:r>
      <w:r>
        <w:rPr/>
        <w:t>salienta que os quantitativos solicitados correspondem a 25% do valor inicial do contrato, adequando-se,</w:t>
      </w:r>
      <w:r>
        <w:rPr>
          <w:spacing w:val="1"/>
        </w:rPr>
        <w:t> </w:t>
      </w:r>
      <w:r>
        <w:rPr/>
        <w:t>portanto, ao limite legal estabelecido no artigo 65 da Lei n. 8.666/1993.</w:t>
      </w:r>
    </w:p>
    <w:p>
      <w:pPr>
        <w:pStyle w:val="BodyText"/>
        <w:spacing w:line="235" w:lineRule="auto" w:before="118"/>
        <w:ind w:left="229" w:right="222" w:firstLine="1698"/>
        <w:jc w:val="both"/>
      </w:pPr>
      <w:r>
        <w:rPr/>
        <w:t>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exposto,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justificativas</w:t>
      </w:r>
      <w:r>
        <w:rPr>
          <w:spacing w:val="1"/>
        </w:rPr>
        <w:t> </w:t>
      </w:r>
      <w:r>
        <w:rPr/>
        <w:t>apresentadas,</w:t>
      </w:r>
      <w:r>
        <w:rPr>
          <w:spacing w:val="1"/>
        </w:rPr>
        <w:t> </w:t>
      </w:r>
      <w:r>
        <w:rPr/>
        <w:t>acolho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Secretaria</w:t>
      </w:r>
      <w:r>
        <w:rPr>
          <w:spacing w:val="8"/>
        </w:rPr>
        <w:t> </w:t>
      </w:r>
      <w:r>
        <w:rPr/>
        <w:t>de</w:t>
      </w:r>
      <w:r>
        <w:rPr>
          <w:spacing w:val="-5"/>
        </w:rPr>
        <w:t> </w:t>
      </w:r>
      <w:r>
        <w:rPr/>
        <w:t>Administração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Material</w:t>
      </w:r>
      <w:r>
        <w:rPr>
          <w:spacing w:val="9"/>
        </w:rPr>
        <w:t> </w:t>
      </w:r>
      <w:r>
        <w:rPr/>
        <w:t>e,</w:t>
      </w:r>
      <w:r>
        <w:rPr>
          <w:spacing w:val="8"/>
        </w:rPr>
        <w:t> </w:t>
      </w:r>
      <w:r>
        <w:rPr/>
        <w:t>com</w:t>
      </w:r>
      <w:r>
        <w:rPr>
          <w:spacing w:val="8"/>
        </w:rPr>
        <w:t> </w:t>
      </w:r>
      <w:r>
        <w:rPr/>
        <w:t>amparo</w:t>
      </w:r>
      <w:r>
        <w:rPr>
          <w:spacing w:val="8"/>
        </w:rPr>
        <w:t> </w:t>
      </w:r>
      <w:r>
        <w:rPr/>
        <w:t>na</w:t>
      </w:r>
      <w:r>
        <w:rPr>
          <w:spacing w:val="8"/>
        </w:rPr>
        <w:t> </w:t>
      </w:r>
      <w:r>
        <w:rPr/>
        <w:t>competência</w:t>
      </w:r>
      <w:r>
        <w:rPr>
          <w:spacing w:val="8"/>
        </w:rPr>
        <w:t> </w:t>
      </w:r>
      <w:r>
        <w:rPr/>
        <w:t>delegada</w:t>
      </w:r>
      <w:r>
        <w:rPr>
          <w:spacing w:val="9"/>
        </w:rPr>
        <w:t> </w:t>
      </w:r>
      <w:r>
        <w:rPr/>
        <w:t>no</w:t>
      </w:r>
      <w:r>
        <w:rPr>
          <w:spacing w:val="8"/>
        </w:rPr>
        <w:t> </w:t>
      </w:r>
      <w:r>
        <w:rPr/>
        <w:t>artigo</w:t>
      </w:r>
      <w:r>
        <w:rPr>
          <w:spacing w:val="8"/>
        </w:rPr>
        <w:t> </w:t>
      </w:r>
      <w:r>
        <w:rPr/>
        <w:t>1º,</w:t>
      </w:r>
      <w:r>
        <w:rPr>
          <w:spacing w:val="8"/>
        </w:rPr>
        <w:t> </w:t>
      </w:r>
      <w:r>
        <w:rPr/>
        <w:t>incisos</w:t>
      </w:r>
      <w:r>
        <w:rPr>
          <w:spacing w:val="3"/>
        </w:rPr>
        <w:t> </w:t>
      </w:r>
      <w:r>
        <w:rPr/>
        <w:t>VII</w:t>
      </w:r>
      <w:r>
        <w:rPr>
          <w:spacing w:val="-57"/>
        </w:rPr>
        <w:t> </w:t>
      </w:r>
      <w:r>
        <w:rPr/>
        <w:t>e</w:t>
      </w:r>
      <w:r>
        <w:rPr>
          <w:spacing w:val="-2"/>
        </w:rPr>
        <w:t> </w:t>
      </w:r>
      <w:r>
        <w:rPr/>
        <w:t>VIII,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Portaria</w:t>
      </w:r>
      <w:r>
        <w:rPr>
          <w:spacing w:val="-2"/>
        </w:rPr>
        <w:t> </w:t>
      </w:r>
      <w:r>
        <w:rPr/>
        <w:t>TRE-SP</w:t>
      </w:r>
      <w:r>
        <w:rPr>
          <w:spacing w:val="-7"/>
        </w:rPr>
        <w:t> </w:t>
      </w:r>
      <w:r>
        <w:rPr/>
        <w:t>n.</w:t>
      </w:r>
      <w:r>
        <w:rPr>
          <w:spacing w:val="2"/>
        </w:rPr>
        <w:t> </w:t>
      </w:r>
      <w:r>
        <w:rPr/>
        <w:t>1/2022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fundamento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artigo</w:t>
      </w:r>
      <w:r>
        <w:rPr>
          <w:spacing w:val="2"/>
        </w:rPr>
        <w:t> </w:t>
      </w:r>
      <w:r>
        <w:rPr/>
        <w:t>65,</w:t>
      </w:r>
      <w:r>
        <w:rPr>
          <w:spacing w:val="2"/>
        </w:rPr>
        <w:t> </w:t>
      </w:r>
      <w:r>
        <w:rPr/>
        <w:t>inciso</w:t>
      </w:r>
      <w:r>
        <w:rPr>
          <w:spacing w:val="2"/>
        </w:rPr>
        <w:t> </w:t>
      </w:r>
      <w:r>
        <w:rPr/>
        <w:t>I,</w:t>
      </w:r>
      <w:r>
        <w:rPr>
          <w:spacing w:val="2"/>
        </w:rPr>
        <w:t> </w:t>
      </w:r>
      <w:r>
        <w:rPr/>
        <w:t>alínea</w:t>
      </w:r>
      <w:r>
        <w:rPr>
          <w:spacing w:val="2"/>
        </w:rPr>
        <w:t> </w:t>
      </w:r>
      <w:r>
        <w:rPr/>
        <w:t>“b”,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parágrafo</w:t>
      </w:r>
      <w:r>
        <w:rPr>
          <w:spacing w:val="2"/>
        </w:rPr>
        <w:t> </w:t>
      </w:r>
      <w:r>
        <w:rPr/>
        <w:t>1º,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Lei</w:t>
      </w:r>
    </w:p>
    <w:p>
      <w:pPr>
        <w:pStyle w:val="BodyText"/>
        <w:spacing w:line="235" w:lineRule="auto"/>
        <w:ind w:left="229" w:right="222"/>
        <w:jc w:val="both"/>
      </w:pPr>
      <w:r>
        <w:rPr/>
        <w:t>n.</w:t>
      </w:r>
      <w:r>
        <w:rPr>
          <w:spacing w:val="32"/>
        </w:rPr>
        <w:t> </w:t>
      </w:r>
      <w:r>
        <w:rPr/>
        <w:t>8.666/1993,</w:t>
      </w:r>
      <w:r>
        <w:rPr>
          <w:spacing w:val="32"/>
        </w:rPr>
        <w:t> </w:t>
      </w:r>
      <w:r>
        <w:rPr/>
        <w:t>aprovo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despesa</w:t>
      </w:r>
      <w:r>
        <w:rPr>
          <w:spacing w:val="33"/>
        </w:rPr>
        <w:t> </w:t>
      </w:r>
      <w:r>
        <w:rPr/>
        <w:t>suplementar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R$</w:t>
      </w:r>
      <w:r>
        <w:rPr>
          <w:spacing w:val="32"/>
        </w:rPr>
        <w:t> </w:t>
      </w:r>
      <w:r>
        <w:rPr/>
        <w:t>580.000,00,</w:t>
      </w:r>
      <w:r>
        <w:rPr>
          <w:spacing w:val="32"/>
        </w:rPr>
        <w:t> </w:t>
      </w:r>
      <w:r>
        <w:rPr/>
        <w:t>para</w:t>
      </w:r>
      <w:r>
        <w:rPr>
          <w:spacing w:val="33"/>
        </w:rPr>
        <w:t> </w:t>
      </w:r>
      <w:r>
        <w:rPr/>
        <w:t>o</w:t>
      </w:r>
      <w:r>
        <w:rPr>
          <w:spacing w:val="32"/>
        </w:rPr>
        <w:t> </w:t>
      </w:r>
      <w:r>
        <w:rPr/>
        <w:t>acréscimo</w:t>
      </w:r>
      <w:r>
        <w:rPr>
          <w:spacing w:val="32"/>
        </w:rPr>
        <w:t> </w:t>
      </w:r>
      <w:r>
        <w:rPr/>
        <w:t>quantitativo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mais</w:t>
      </w:r>
      <w:r>
        <w:rPr>
          <w:spacing w:val="-57"/>
        </w:rPr>
        <w:t> </w:t>
      </w:r>
      <w:r>
        <w:rPr/>
        <w:t>uma unidade de appliance de backup ao contrato celebrado com a empresa APPROACH TECNOLOGIA</w:t>
      </w:r>
      <w:r>
        <w:rPr>
          <w:spacing w:val="1"/>
        </w:rPr>
        <w:t> </w:t>
      </w:r>
      <w:r>
        <w:rPr/>
        <w:t>LTDA.,</w:t>
      </w:r>
      <w:r>
        <w:rPr>
          <w:spacing w:val="-1"/>
        </w:rPr>
        <w:t> </w:t>
      </w:r>
      <w:r>
        <w:rPr/>
        <w:t>podendo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utilizada</w:t>
      </w:r>
      <w:r>
        <w:rPr>
          <w:spacing w:val="-1"/>
        </w:rPr>
        <w:t> </w:t>
      </w:r>
      <w:r>
        <w:rPr/>
        <w:t>para esse</w:t>
      </w:r>
      <w:r>
        <w:rPr>
          <w:spacing w:val="-1"/>
        </w:rPr>
        <w:t> </w:t>
      </w:r>
      <w:r>
        <w:rPr/>
        <w:t>fim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minuta de</w:t>
      </w:r>
      <w:r>
        <w:rPr>
          <w:spacing w:val="-1"/>
        </w:rPr>
        <w:t> </w:t>
      </w:r>
      <w:r>
        <w:rPr/>
        <w:t>termo</w:t>
      </w:r>
      <w:r>
        <w:rPr>
          <w:spacing w:val="-1"/>
        </w:rPr>
        <w:t> </w:t>
      </w:r>
      <w:r>
        <w:rPr/>
        <w:t>aditivo</w:t>
      </w:r>
      <w:r>
        <w:rPr>
          <w:spacing w:val="-1"/>
        </w:rPr>
        <w:t> </w:t>
      </w:r>
      <w:r>
        <w:rPr/>
        <w:t>constante do</w:t>
      </w:r>
      <w:r>
        <w:rPr>
          <w:spacing w:val="-1"/>
        </w:rPr>
        <w:t> </w:t>
      </w:r>
      <w:r>
        <w:rPr/>
        <w:t>doc.</w:t>
      </w:r>
      <w:r>
        <w:rPr>
          <w:spacing w:val="-1"/>
        </w:rPr>
        <w:t> </w:t>
      </w:r>
      <w:r>
        <w:rPr/>
        <w:t>5709017.</w:t>
      </w:r>
    </w:p>
    <w:p>
      <w:pPr>
        <w:pStyle w:val="BodyText"/>
        <w:spacing w:before="112"/>
        <w:ind w:left="1928"/>
        <w:jc w:val="both"/>
      </w:pPr>
      <w:r>
        <w:rPr/>
        <w:t>À SOF e SAM, para providências.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680" w:bottom="460" w:left="580" w:right="560"/>
          <w:pgNumType w:start="1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338" w:lineRule="auto" w:before="90" w:after="16"/>
        <w:ind w:left="3859" w:right="3851"/>
        <w:jc w:val="center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466725</wp:posOffset>
            </wp:positionH>
            <wp:positionV relativeFrom="paragraph">
              <wp:posOffset>647104</wp:posOffset>
            </wp:positionV>
            <wp:extent cx="847724" cy="57149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Claucio Cristiano </w:t>
      </w:r>
      <w:r>
        <w:rPr/>
        <w:t>Abreu Corrêa</w:t>
      </w:r>
      <w:r>
        <w:rPr>
          <w:spacing w:val="-57"/>
        </w:rPr>
        <w:t> </w:t>
      </w:r>
      <w:r>
        <w:rPr/>
        <w:t>Diretor-Geral</w:t>
      </w:r>
    </w:p>
    <w:p>
      <w:pPr>
        <w:pStyle w:val="BodyText"/>
        <w:spacing w:line="30" w:lineRule="exact"/>
        <w:ind w:left="110"/>
        <w:rPr>
          <w:sz w:val="2"/>
        </w:rPr>
      </w:pPr>
      <w:r>
        <w:rPr>
          <w:position w:val="0"/>
          <w:sz w:val="2"/>
        </w:rPr>
        <w:pict>
          <v:group style="width:527.25pt;height:1.5pt;mso-position-horizontal-relative:char;mso-position-vertical-relative:line" coordorigin="0,0" coordsize="10545,30">
            <v:rect style="position:absolute;left:0;top:0;width:10545;height:15" filled="true" fillcolor="#999999" stroked="false">
              <v:fill type="solid"/>
            </v:rect>
            <v:shape style="position:absolute;left:-1;top:0;width:10545;height:30" coordorigin="0,0" coordsize="10545,30" path="m10545,0l10530,15,0,15,0,30,10530,30,10545,30,10545,15,10545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27"/>
        </w:rPr>
      </w:pPr>
    </w:p>
    <w:p>
      <w:pPr>
        <w:spacing w:line="242" w:lineRule="auto" w:before="0"/>
        <w:ind w:left="1549" w:right="462" w:firstLine="0"/>
        <w:jc w:val="left"/>
        <w:rPr>
          <w:sz w:val="22"/>
        </w:rPr>
      </w:pPr>
      <w:r>
        <w:rPr>
          <w:sz w:val="22"/>
        </w:rPr>
        <w:t>Documento assinado eletronicamente por </w:t>
      </w:r>
      <w:r>
        <w:rPr>
          <w:b/>
          <w:sz w:val="22"/>
        </w:rPr>
        <w:t>CLAUCIO CRISTIANO ABREU CORRÊA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z w:val="22"/>
        </w:rPr>
        <w:t>DIRETOR-GERAL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31/08/2024,</w:t>
      </w:r>
      <w:r>
        <w:rPr>
          <w:spacing w:val="-2"/>
          <w:sz w:val="22"/>
        </w:rPr>
        <w:t> </w:t>
      </w:r>
      <w:r>
        <w:rPr>
          <w:sz w:val="22"/>
        </w:rPr>
        <w:t>às</w:t>
      </w:r>
      <w:r>
        <w:rPr>
          <w:spacing w:val="-2"/>
          <w:sz w:val="22"/>
        </w:rPr>
        <w:t> </w:t>
      </w:r>
      <w:r>
        <w:rPr>
          <w:sz w:val="22"/>
        </w:rPr>
        <w:t>14:44,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2"/>
          <w:sz w:val="22"/>
        </w:rPr>
        <w:t> </w:t>
      </w:r>
      <w:r>
        <w:rPr>
          <w:sz w:val="22"/>
        </w:rPr>
        <w:t>§</w:t>
      </w:r>
      <w:r>
        <w:rPr>
          <w:spacing w:val="-2"/>
          <w:sz w:val="22"/>
        </w:rPr>
        <w:t> </w:t>
      </w:r>
      <w:r>
        <w:rPr>
          <w:sz w:val="22"/>
        </w:rPr>
        <w:t>2º,</w:t>
      </w:r>
      <w:r>
        <w:rPr>
          <w:spacing w:val="-2"/>
          <w:sz w:val="22"/>
        </w:rPr>
        <w:t> </w:t>
      </w:r>
      <w:r>
        <w:rPr>
          <w:sz w:val="22"/>
        </w:rPr>
        <w:t>III,</w:t>
      </w:r>
      <w:r>
        <w:rPr>
          <w:spacing w:val="-2"/>
          <w:sz w:val="22"/>
        </w:rPr>
        <w:t> </w:t>
      </w:r>
      <w:r>
        <w:rPr>
          <w:sz w:val="22"/>
        </w:rPr>
        <w:t>"b",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2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4.5pt;margin-top:13.975484pt;width:527.25pt;height:1.5pt;mso-position-horizontal-relative:page;mso-position-vertical-relative:paragraph;z-index:-15728128;mso-wrap-distance-left:0;mso-wrap-distance-right:0" coordorigin="690,280" coordsize="10545,30">
            <v:rect style="position:absolute;left:690;top:279;width:10545;height:15" filled="true" fillcolor="#999999" stroked="false">
              <v:fill type="solid"/>
            </v:rect>
            <v:shape style="position:absolute;left:689;top:279;width:10545;height:30" coordorigin="690,280" coordsize="10545,30" path="m11235,280l11220,295,690,295,690,310,11220,310,11235,310,11235,295,11235,280xe" filled="true" fillcolor="#ededed" stroked="false">
              <v:path arrowok="t"/>
              <v:fill type="solid"/>
            </v:shape>
            <v:shape style="position:absolute;left:690;top:279;width:15;height:30" coordorigin="690,280" coordsize="15,30" path="m690,310l690,280,705,280,705,295,690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2"/>
        <w:rPr>
          <w:sz w:val="29"/>
        </w:rPr>
      </w:pPr>
    </w:p>
    <w:p>
      <w:pPr>
        <w:spacing w:line="242" w:lineRule="auto" w:before="0"/>
        <w:ind w:left="1504" w:right="46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485775</wp:posOffset>
            </wp:positionH>
            <wp:positionV relativeFrom="paragraph">
              <wp:posOffset>-145802</wp:posOffset>
            </wp:positionV>
            <wp:extent cx="781049" cy="78104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sp.jus.br/sei/controlador_externo.php?acao=documento_conferir&amp;id_orgao_acesso_externo=0</w:t>
      </w:r>
      <w:r>
        <w:rPr>
          <w:sz w:val="22"/>
        </w:rPr>
        <w:t> informando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verificador </w:t>
      </w:r>
      <w:r>
        <w:rPr>
          <w:b/>
          <w:sz w:val="22"/>
        </w:rPr>
        <w:t>5737609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CRC </w:t>
      </w:r>
      <w:r>
        <w:rPr>
          <w:b/>
          <w:sz w:val="22"/>
        </w:rPr>
        <w:t>E5506A68</w:t>
      </w:r>
      <w:r>
        <w:rPr>
          <w:sz w:val="22"/>
        </w:rPr>
        <w:t>.</w:t>
      </w:r>
    </w:p>
    <w:p>
      <w:pPr>
        <w:pStyle w:val="BodyText"/>
        <w:spacing w:before="9"/>
      </w:pPr>
      <w:r>
        <w:rPr/>
        <w:pict>
          <v:group style="position:absolute;margin-left:35.25pt;margin-top:16.200165pt;width:525.75pt;height:1.5pt;mso-position-horizontal-relative:page;mso-position-vertical-relative:paragraph;z-index:-15727616;mso-wrap-distance-left:0;mso-wrap-distance-right:0" coordorigin="705,324" coordsize="10515,30">
            <v:rect style="position:absolute;left:705;top:324;width:10515;height:15" filled="true" fillcolor="#999999" stroked="false">
              <v:fill type="solid"/>
            </v:rect>
            <v:shape style="position:absolute;left:704;top:324;width:10515;height:30" coordorigin="705,324" coordsize="10515,30" path="m11220,324l11205,339,705,339,705,354,11205,354,11220,354,11220,339,11220,324xe" filled="true" fillcolor="#ededed" stroked="false">
              <v:path arrowok="t"/>
              <v:fill type="solid"/>
            </v:shape>
            <v:shape style="position:absolute;left:705;top:324;width:15;height:30" coordorigin="705,324" coordsize="15,30" path="m705,354l705,324,720,324,720,339,705,354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999001pt;margin-top:35.700161pt;width:524.25pt;height:2.25pt;mso-position-horizontal-relative:page;mso-position-vertical-relative:paragraph;z-index:-15727104;mso-wrap-distance-left:0;mso-wrap-distance-right:0" coordorigin="720,714" coordsize="10485,45" path="m11205,744l720,744,720,759,11205,759,11205,744xm11205,714l720,714,720,729,11205,729,11205,714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25"/>
        </w:rPr>
      </w:pPr>
    </w:p>
    <w:p>
      <w:pPr>
        <w:tabs>
          <w:tab w:pos="9597" w:val="left" w:leader="none"/>
        </w:tabs>
        <w:spacing w:before="0"/>
        <w:ind w:left="5" w:right="0" w:firstLine="0"/>
        <w:jc w:val="center"/>
        <w:rPr>
          <w:sz w:val="18"/>
        </w:rPr>
      </w:pPr>
      <w:r>
        <w:rPr>
          <w:sz w:val="18"/>
        </w:rPr>
        <w:t>0042464-97.2022.6.26.8000</w:t>
        <w:tab/>
        <w:t>5737609v11</w:t>
      </w:r>
    </w:p>
    <w:sectPr>
      <w:pgSz w:w="11900" w:h="16840"/>
      <w:pgMar w:header="284" w:footer="268" w:top="680" w:bottom="46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999998pt;margin-top:817.512329pt;width:521.75pt;height:10.95pt;mso-position-horizontal-relative:page;mso-position-vertical-relative:page;z-index:-157798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https://sei.tre-sp.jus.br/sei/controlador.php?acao=documento_imprimir_web&amp;acao_origem=arvore_visualizar&amp;id_documento=6171620&amp;infra_sist…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1577932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999998pt;margin-top:14.262341pt;width:65.9pt;height:10.95pt;mso-position-horizontal-relative:page;mso-position-vertical-relative:page;z-index:-157808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11/10/2024,</w:t>
                </w:r>
                <w:r>
                  <w:rPr>
                    <w:rFonts w:ascii="Arial MT"/>
                    <w:spacing w:val="-10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10:17</w:t>
                </w:r>
              </w:p>
            </w:txbxContent>
          </v:textbox>
          <w10:wrap type="none"/>
        </v:shape>
      </w:pict>
    </w:r>
    <w:r>
      <w:rPr/>
      <w:pict>
        <v:shape style="position:absolute;margin-left:280.730469pt;margin-top:14.262341pt;width:127.65pt;height:10.95pt;mso-position-horizontal-relative:page;mso-position-vertical-relative:page;z-index:-15780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SEI/TRE-SP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5737609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DECISÃO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925" w:hanging="117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03" w:hanging="1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87" w:hanging="1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71" w:hanging="1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55" w:hanging="1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39" w:hanging="1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23" w:hanging="1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07" w:hanging="1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91" w:hanging="11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85"/>
      <w:ind w:left="1925" w:hanging="118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- 5737609 - DECISÃO</dc:title>
  <dcterms:created xsi:type="dcterms:W3CDTF">2024-10-11T13:22:51Z</dcterms:created>
  <dcterms:modified xsi:type="dcterms:W3CDTF">2024-10-11T13:22:51Z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2024-10-11T00:00:00Z</vt:filetime>
  </property>
</Properties>
</file>